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Default="0039286C" w:rsidP="0039286C">
      <w:pPr>
        <w:jc w:val="center"/>
      </w:pPr>
    </w:p>
    <w:p w:rsidR="0039286C" w:rsidRPr="00E42259" w:rsidRDefault="0039286C" w:rsidP="0039286C">
      <w:pPr>
        <w:jc w:val="center"/>
        <w:rPr>
          <w:rFonts w:cs="Aharoni"/>
          <w:b/>
          <w:szCs w:val="24"/>
        </w:rPr>
      </w:pPr>
      <w:r w:rsidRPr="00E42259">
        <w:rPr>
          <w:rFonts w:cs="Aharoni"/>
          <w:b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93470C">
        <w:rPr>
          <w:rFonts w:cs="Aharoni"/>
          <w:szCs w:val="24"/>
        </w:rPr>
        <w:t>12 ноября 2020 года</w:t>
      </w:r>
      <w:r w:rsidR="0039286C" w:rsidRPr="00D24D91">
        <w:rPr>
          <w:rFonts w:cs="Aharoni"/>
          <w:szCs w:val="24"/>
        </w:rPr>
        <w:t xml:space="preserve">                            </w:t>
      </w:r>
      <w:r>
        <w:rPr>
          <w:rFonts w:cs="Aharoni"/>
          <w:szCs w:val="24"/>
        </w:rPr>
        <w:t xml:space="preserve">         </w:t>
      </w:r>
      <w:r w:rsidR="00D24D91">
        <w:rPr>
          <w:rFonts w:cs="Aharoni"/>
          <w:szCs w:val="24"/>
        </w:rPr>
        <w:t xml:space="preserve"> </w:t>
      </w:r>
      <w:r w:rsidR="0039286C" w:rsidRPr="00D24D91">
        <w:rPr>
          <w:rFonts w:cs="Aharoni"/>
          <w:szCs w:val="24"/>
        </w:rPr>
        <w:t xml:space="preserve"> № </w:t>
      </w:r>
      <w:r w:rsidR="0093470C">
        <w:rPr>
          <w:rFonts w:cs="Aharoni"/>
          <w:szCs w:val="24"/>
        </w:rPr>
        <w:t>367</w:t>
      </w:r>
    </w:p>
    <w:p w:rsidR="00C028F0" w:rsidRPr="00D24D91" w:rsidRDefault="00C028F0" w:rsidP="00D24D91">
      <w:pPr>
        <w:rPr>
          <w:rFonts w:cs="Aharoni"/>
          <w:szCs w:val="24"/>
        </w:rPr>
      </w:pPr>
    </w:p>
    <w:p w:rsidR="0039286C" w:rsidRPr="00D24D91" w:rsidRDefault="0093470C" w:rsidP="00BE10CC">
      <w:pPr>
        <w:ind w:right="4252"/>
        <w:jc w:val="both"/>
        <w:rPr>
          <w:rFonts w:cs="Aharoni"/>
          <w:szCs w:val="24"/>
        </w:rPr>
      </w:pPr>
      <w:proofErr w:type="gramStart"/>
      <w:r>
        <w:rPr>
          <w:rFonts w:cs="Times New Roman"/>
        </w:rPr>
        <w:t>О внесении изменений в постановление от 24.05.2019 № 166 «</w:t>
      </w:r>
      <w:r w:rsidR="00033079" w:rsidRPr="00246272">
        <w:rPr>
          <w:rFonts w:cs="Times New Roman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</w:t>
      </w:r>
      <w:r w:rsidR="00033079">
        <w:rPr>
          <w:rFonts w:cs="Times New Roman"/>
        </w:rPr>
        <w:t xml:space="preserve"> Скребловское сельское поселение</w:t>
      </w:r>
      <w:r w:rsidR="00033079"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="00033079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033079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="00033079" w:rsidRPr="00246272">
        <w:rPr>
          <w:rFonts w:cs="Times New Roman"/>
        </w:rPr>
        <w:t xml:space="preserve"> Ленинградской области</w:t>
      </w:r>
      <w:r w:rsidR="00033079">
        <w:rPr>
          <w:rFonts w:cs="Times New Roman"/>
        </w:rPr>
        <w:t>,</w:t>
      </w:r>
      <w:r w:rsidR="00033079" w:rsidRPr="00246272">
        <w:rPr>
          <w:rFonts w:cs="Times New Roman"/>
        </w:rPr>
        <w:t xml:space="preserve"> а</w:t>
      </w:r>
      <w:r w:rsidR="00033079">
        <w:rPr>
          <w:rFonts w:cs="Times New Roman"/>
        </w:rPr>
        <w:t xml:space="preserve"> также земельных участков, </w:t>
      </w:r>
      <w:r w:rsidR="00033079" w:rsidRPr="00246272">
        <w:rPr>
          <w:rFonts w:cs="Times New Roman"/>
        </w:rPr>
        <w:t xml:space="preserve">полномочия по распоряжению которыми относятся </w:t>
      </w:r>
      <w:r w:rsidR="00033079">
        <w:rPr>
          <w:rFonts w:cs="Times New Roman"/>
        </w:rPr>
        <w:t xml:space="preserve">к компетенции </w:t>
      </w:r>
      <w:r w:rsidR="00033079" w:rsidRPr="00246272">
        <w:rPr>
          <w:rFonts w:cs="Times New Roman"/>
        </w:rPr>
        <w:t xml:space="preserve">администрации </w:t>
      </w:r>
      <w:r w:rsidR="00033079">
        <w:rPr>
          <w:rFonts w:cs="Times New Roman"/>
        </w:rPr>
        <w:t xml:space="preserve">Скребловского сельского поселения </w:t>
      </w:r>
      <w:r w:rsidR="00033079"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</w:t>
      </w:r>
      <w:proofErr w:type="gramEnd"/>
      <w:r w:rsidR="00033079" w:rsidRPr="00246272">
        <w:rPr>
          <w:rFonts w:cs="Times New Roman"/>
        </w:rPr>
        <w:t xml:space="preserve"> </w:t>
      </w:r>
      <w:proofErr w:type="gramStart"/>
      <w:r w:rsidR="00033079" w:rsidRPr="00246272">
        <w:rPr>
          <w:rFonts w:cs="Times New Roman"/>
        </w:rPr>
        <w:t>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 w:rsidR="00033079">
        <w:rPr>
          <w:rFonts w:cs="Times New Roman"/>
        </w:rPr>
        <w:t xml:space="preserve"> </w:t>
      </w:r>
      <w:r w:rsidR="00033079" w:rsidRPr="00246272">
        <w:rPr>
          <w:rFonts w:cs="Times New Roman"/>
        </w:rPr>
        <w:t>по льготным ставкам арендной платы),</w:t>
      </w:r>
      <w:r w:rsidR="00033079">
        <w:rPr>
          <w:rFonts w:cs="Times New Roman"/>
        </w:rPr>
        <w:t xml:space="preserve"> </w:t>
      </w:r>
      <w:r w:rsidR="00033079" w:rsidRPr="00246272">
        <w:rPr>
          <w:rFonts w:cs="Times New Roman"/>
        </w:rPr>
        <w:t>на долго</w:t>
      </w:r>
      <w:r w:rsidR="00033079">
        <w:rPr>
          <w:rFonts w:cs="Times New Roman"/>
        </w:rPr>
        <w:t xml:space="preserve">срочной основе субъектам малого </w:t>
      </w:r>
      <w:r w:rsidR="00033079" w:rsidRPr="00246272">
        <w:rPr>
          <w:rFonts w:cs="Times New Roman"/>
        </w:rPr>
        <w:t>и среднего предпринимательства и</w:t>
      </w:r>
      <w:r w:rsidR="00033079" w:rsidRPr="00246272">
        <w:rPr>
          <w:rFonts w:cs="Times New Roman"/>
          <w:sz w:val="28"/>
          <w:szCs w:val="28"/>
        </w:rPr>
        <w:t xml:space="preserve"> </w:t>
      </w:r>
      <w:r w:rsidR="00033079"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</w:rPr>
        <w:t>»</w:t>
      </w:r>
      <w:proofErr w:type="gramEnd"/>
    </w:p>
    <w:p w:rsidR="00666781" w:rsidRDefault="00666781" w:rsidP="0039286C">
      <w:pPr>
        <w:rPr>
          <w:rFonts w:cs="Aharoni"/>
          <w:szCs w:val="24"/>
        </w:rPr>
      </w:pPr>
    </w:p>
    <w:p w:rsidR="00AB21F3" w:rsidRPr="00985FA0" w:rsidRDefault="00033079" w:rsidP="00E83A77">
      <w:pPr>
        <w:ind w:firstLine="709"/>
        <w:jc w:val="both"/>
        <w:rPr>
          <w:rFonts w:cs="Aharoni"/>
          <w:szCs w:val="24"/>
        </w:rPr>
      </w:pPr>
      <w:proofErr w:type="gramStart"/>
      <w:r w:rsidRPr="00033079">
        <w:rPr>
          <w:rFonts w:cs="Aharoni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rFonts w:cs="Aharoni"/>
          <w:szCs w:val="24"/>
        </w:rPr>
        <w:t>Скребловском сельском поселении</w:t>
      </w:r>
      <w:r w:rsidRPr="00033079">
        <w:rPr>
          <w:rFonts w:cs="Aharoni"/>
          <w:szCs w:val="24"/>
        </w:rPr>
        <w:t xml:space="preserve"> (в части имущественной поддержки), руководствуясь Земельным кодексом Российской Федерации, Федеральным</w:t>
      </w:r>
      <w:r>
        <w:rPr>
          <w:rFonts w:cs="Aharoni"/>
          <w:szCs w:val="24"/>
        </w:rPr>
        <w:t xml:space="preserve"> законом от 06.10.2003 № 131-ФЗ</w:t>
      </w:r>
      <w:r w:rsidRPr="00033079">
        <w:rPr>
          <w:rFonts w:cs="Aharoni"/>
          <w:szCs w:val="24"/>
        </w:rPr>
        <w:t xml:space="preserve"> «Об общих принципах организации местного самоуправления в Российской Федерации», ст. 17.1 Федерального  закона от 26.07.2006 № 135-ФЗ «О защите конкуренции», ст. 18 Федерального закона от 24.07.2007 № 209-ФЗ «О развитии малого и среднего предпринимательства</w:t>
      </w:r>
      <w:proofErr w:type="gramEnd"/>
      <w:r w:rsidRPr="00033079">
        <w:rPr>
          <w:rFonts w:cs="Aharoni"/>
          <w:szCs w:val="24"/>
        </w:rPr>
        <w:t xml:space="preserve"> </w:t>
      </w:r>
      <w:proofErr w:type="gramStart"/>
      <w:r w:rsidRPr="00033079">
        <w:rPr>
          <w:rFonts w:cs="Aharoni"/>
          <w:szCs w:val="24"/>
        </w:rPr>
        <w:t>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</w:t>
      </w:r>
      <w:proofErr w:type="gramEnd"/>
      <w:r w:rsidRPr="00033079">
        <w:rPr>
          <w:rFonts w:cs="Aharoni"/>
          <w:szCs w:val="24"/>
        </w:rPr>
        <w:t xml:space="preserve">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</w:t>
      </w:r>
      <w:r w:rsidRPr="00033079">
        <w:rPr>
          <w:rFonts w:cs="Aharoni"/>
          <w:szCs w:val="24"/>
        </w:rPr>
        <w:lastRenderedPageBreak/>
        <w:t xml:space="preserve">предпринимательства в Российской Федерации», </w:t>
      </w:r>
      <w:r w:rsidR="00030F2D">
        <w:t>а</w:t>
      </w:r>
      <w:r w:rsidR="00E83A77" w:rsidRPr="00821257">
        <w:t xml:space="preserve">дминистрация </w:t>
      </w:r>
      <w:r w:rsidR="00E83A77">
        <w:t>Скребловского</w:t>
      </w:r>
      <w:r w:rsidR="00E83A77" w:rsidRPr="00821257">
        <w:t xml:space="preserve"> сельского поселения</w:t>
      </w:r>
      <w:r w:rsidR="00E83A77">
        <w:rPr>
          <w:rFonts w:cs="Aharoni"/>
          <w:szCs w:val="24"/>
        </w:rPr>
        <w:t xml:space="preserve"> </w:t>
      </w:r>
      <w:r w:rsidR="00AB21F3" w:rsidRPr="00985FA0">
        <w:rPr>
          <w:rFonts w:cs="Aharoni"/>
          <w:szCs w:val="24"/>
        </w:rPr>
        <w:t>ПОСТАНОВЛЯ</w:t>
      </w:r>
      <w:r w:rsidR="00E83A77">
        <w:rPr>
          <w:rFonts w:cs="Aharoni"/>
          <w:szCs w:val="24"/>
        </w:rPr>
        <w:t>ЕТ</w:t>
      </w:r>
      <w:r w:rsidR="00AB21F3" w:rsidRPr="00985FA0">
        <w:rPr>
          <w:rFonts w:cs="Aharoni"/>
          <w:szCs w:val="24"/>
        </w:rPr>
        <w:t>:</w:t>
      </w:r>
    </w:p>
    <w:p w:rsidR="00AB21F3" w:rsidRDefault="00AB21F3" w:rsidP="00AB21F3">
      <w:pPr>
        <w:jc w:val="center"/>
        <w:rPr>
          <w:rFonts w:cs="Aharoni"/>
          <w:sz w:val="20"/>
          <w:szCs w:val="20"/>
        </w:rPr>
      </w:pPr>
    </w:p>
    <w:p w:rsidR="00647D77" w:rsidRPr="00647D77" w:rsidRDefault="00647D77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>
        <w:rPr>
          <w:rFonts w:cs="Aharoni"/>
          <w:szCs w:val="24"/>
        </w:rPr>
        <w:t xml:space="preserve">Дополнить постановление от </w:t>
      </w:r>
      <w:r>
        <w:rPr>
          <w:rFonts w:cs="Times New Roman"/>
        </w:rPr>
        <w:t>24.05.2019 № 166 «</w:t>
      </w:r>
      <w:r w:rsidRPr="00246272">
        <w:rPr>
          <w:rFonts w:cs="Times New Roman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</w:t>
      </w:r>
      <w:proofErr w:type="gramEnd"/>
      <w:r w:rsidRPr="00246272">
        <w:rPr>
          <w:rFonts w:cs="Times New Roman"/>
        </w:rPr>
        <w:t xml:space="preserve"> </w:t>
      </w:r>
      <w:proofErr w:type="gramStart"/>
      <w:r w:rsidRPr="00246272">
        <w:rPr>
          <w:rFonts w:cs="Times New Roman"/>
        </w:rPr>
        <w:t>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</w:rPr>
        <w:t xml:space="preserve">» пунктом </w:t>
      </w:r>
      <w:r>
        <w:rPr>
          <w:rFonts w:cs="Aharoni"/>
          <w:bCs/>
        </w:rPr>
        <w:t>следующего содержания:</w:t>
      </w:r>
      <w:proofErr w:type="gramEnd"/>
    </w:p>
    <w:p w:rsidR="00647D77" w:rsidRDefault="00647D77" w:rsidP="00647D7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Aharoni"/>
          <w:szCs w:val="24"/>
        </w:rPr>
      </w:pPr>
      <w:r>
        <w:rPr>
          <w:rFonts w:cs="Aharoni"/>
          <w:bCs/>
        </w:rPr>
        <w:t xml:space="preserve"> Порядок и условия предоставления имущества и</w:t>
      </w:r>
      <w:r w:rsidR="004B7F05">
        <w:rPr>
          <w:rFonts w:cs="Aharoni"/>
          <w:bCs/>
        </w:rPr>
        <w:t>з</w:t>
      </w:r>
      <w:r>
        <w:rPr>
          <w:rFonts w:cs="Aharoni"/>
          <w:bCs/>
        </w:rPr>
        <w:t xml:space="preserve"> Перечня в соответствии с настоящим постановлением распространя</w:t>
      </w:r>
      <w:r w:rsidR="00163DA2">
        <w:rPr>
          <w:rFonts w:cs="Aharoni"/>
          <w:bCs/>
        </w:rPr>
        <w:t>ю</w:t>
      </w:r>
      <w:r>
        <w:rPr>
          <w:rFonts w:cs="Aharoni"/>
          <w:bCs/>
        </w:rPr>
        <w:t xml:space="preserve">тся на </w:t>
      </w:r>
      <w:r>
        <w:rPr>
          <w:rFonts w:eastAsia="Times New Roman" w:cs="Times New Roman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E83A77" w:rsidRDefault="00030F2D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>
        <w:rPr>
          <w:rFonts w:cs="Aharoni"/>
          <w:szCs w:val="24"/>
        </w:rPr>
        <w:t>Внести изменения в п</w:t>
      </w:r>
      <w:r w:rsidR="00E83A77" w:rsidRPr="00E83A77">
        <w:rPr>
          <w:rFonts w:cs="Aharoni"/>
          <w:szCs w:val="24"/>
        </w:rPr>
        <w:t xml:space="preserve">орядок </w:t>
      </w:r>
      <w:r w:rsidR="00BC6609" w:rsidRPr="00246272">
        <w:rPr>
          <w:rFonts w:cs="Times New Roman"/>
        </w:rPr>
        <w:t>формирования, ведения и опубликования перечня муниципального имущества, находящегося в собственности муниципального образования</w:t>
      </w:r>
      <w:r w:rsidR="00BC6609">
        <w:rPr>
          <w:rFonts w:cs="Times New Roman"/>
        </w:rPr>
        <w:t xml:space="preserve"> Скребловское сельское поселение</w:t>
      </w:r>
      <w:r w:rsidR="00BC6609" w:rsidRPr="00246272">
        <w:rPr>
          <w:rFonts w:cs="Times New Roman"/>
        </w:rPr>
        <w:t xml:space="preserve"> </w:t>
      </w:r>
      <w:r w:rsidR="002658E3" w:rsidRPr="00246272">
        <w:rPr>
          <w:rFonts w:cs="Times New Roman"/>
        </w:rPr>
        <w:t>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="00BC6609" w:rsidRPr="00246272">
        <w:rPr>
          <w:rFonts w:cs="Times New Roman"/>
        </w:rPr>
        <w:t xml:space="preserve"> Ленинградской области</w:t>
      </w:r>
      <w:r w:rsidR="00BC6609">
        <w:rPr>
          <w:rFonts w:cs="Times New Roman"/>
        </w:rPr>
        <w:t>,</w:t>
      </w:r>
      <w:r w:rsidR="00BC6609" w:rsidRPr="00246272">
        <w:rPr>
          <w:rFonts w:cs="Times New Roman"/>
        </w:rPr>
        <w:t xml:space="preserve"> а</w:t>
      </w:r>
      <w:r w:rsidR="00BC6609">
        <w:rPr>
          <w:rFonts w:cs="Times New Roman"/>
        </w:rPr>
        <w:t xml:space="preserve"> также земельных участков, </w:t>
      </w:r>
      <w:r w:rsidR="00BC6609" w:rsidRPr="00246272">
        <w:rPr>
          <w:rFonts w:cs="Times New Roman"/>
        </w:rPr>
        <w:t xml:space="preserve">полномочия по распоряжению которыми относятся </w:t>
      </w:r>
      <w:r w:rsidR="00BC6609">
        <w:rPr>
          <w:rFonts w:cs="Times New Roman"/>
        </w:rPr>
        <w:t xml:space="preserve">к компетенции </w:t>
      </w:r>
      <w:r w:rsidR="00BC6609" w:rsidRPr="00246272">
        <w:rPr>
          <w:rFonts w:cs="Times New Roman"/>
        </w:rPr>
        <w:t xml:space="preserve">администрации </w:t>
      </w:r>
      <w:r w:rsidR="00BC6609">
        <w:rPr>
          <w:rFonts w:cs="Times New Roman"/>
        </w:rPr>
        <w:t xml:space="preserve">Скребловского сельского поселения </w:t>
      </w:r>
      <w:r w:rsidR="00BC6609"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</w:t>
      </w:r>
      <w:proofErr w:type="gramEnd"/>
      <w:r w:rsidR="00BC6609" w:rsidRPr="00246272">
        <w:rPr>
          <w:rFonts w:cs="Times New Roman"/>
        </w:rPr>
        <w:t xml:space="preserve">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 w:rsidR="00BC6609">
        <w:rPr>
          <w:rFonts w:cs="Times New Roman"/>
        </w:rPr>
        <w:t xml:space="preserve"> </w:t>
      </w:r>
      <w:r w:rsidR="00BC6609" w:rsidRPr="00246272">
        <w:rPr>
          <w:rFonts w:cs="Times New Roman"/>
        </w:rPr>
        <w:t>по льготным ставкам арендной платы),</w:t>
      </w:r>
      <w:r w:rsidR="00BC6609">
        <w:rPr>
          <w:rFonts w:cs="Times New Roman"/>
        </w:rPr>
        <w:t xml:space="preserve"> </w:t>
      </w:r>
      <w:r w:rsidR="00BC6609" w:rsidRPr="00246272">
        <w:rPr>
          <w:rFonts w:cs="Times New Roman"/>
        </w:rPr>
        <w:t>на долго</w:t>
      </w:r>
      <w:r w:rsidR="00BC6609">
        <w:rPr>
          <w:rFonts w:cs="Times New Roman"/>
        </w:rPr>
        <w:t xml:space="preserve">срочной основе субъектам малого </w:t>
      </w:r>
      <w:r w:rsidR="00BC6609" w:rsidRPr="00246272">
        <w:rPr>
          <w:rFonts w:cs="Times New Roman"/>
        </w:rPr>
        <w:t>и среднего предпринимательства и</w:t>
      </w:r>
      <w:r w:rsidR="00BC6609" w:rsidRPr="00246272">
        <w:rPr>
          <w:rFonts w:cs="Times New Roman"/>
          <w:sz w:val="28"/>
          <w:szCs w:val="28"/>
        </w:rPr>
        <w:t xml:space="preserve"> </w:t>
      </w:r>
      <w:r w:rsidR="00BC6609"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</w:rPr>
        <w:t xml:space="preserve"> (далее – Порядок)</w:t>
      </w:r>
      <w:r>
        <w:rPr>
          <w:rFonts w:cs="Aharoni"/>
          <w:szCs w:val="24"/>
        </w:rPr>
        <w:t>.</w:t>
      </w:r>
    </w:p>
    <w:p w:rsidR="00030F2D" w:rsidRDefault="00C715FE" w:rsidP="00C715FE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Aharoni"/>
          <w:szCs w:val="24"/>
        </w:rPr>
      </w:pPr>
      <w:r>
        <w:rPr>
          <w:rFonts w:cs="Aharoni"/>
          <w:szCs w:val="24"/>
        </w:rPr>
        <w:t>Пункт 1.3 Порядка изложить в следующей редакции:</w:t>
      </w:r>
    </w:p>
    <w:p w:rsidR="00C715FE" w:rsidRPr="00E83A77" w:rsidRDefault="00C715FE" w:rsidP="00C715FE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Aharoni"/>
          <w:szCs w:val="24"/>
        </w:rPr>
      </w:pPr>
      <w:proofErr w:type="gramStart"/>
      <w:r>
        <w:rPr>
          <w:rFonts w:cs="Aharoni"/>
          <w:szCs w:val="24"/>
        </w:rPr>
        <w:t>«</w:t>
      </w:r>
      <w:r w:rsidRPr="00812D21">
        <w:rPr>
          <w:rFonts w:eastAsia="Times New Roman" w:cs="Times New Roman"/>
          <w:szCs w:val="24"/>
          <w:lang w:eastAsia="ru-RU"/>
        </w:rPr>
        <w:t>Муниципальное</w:t>
      </w:r>
      <w:r w:rsidRPr="002D2471">
        <w:rPr>
          <w:rFonts w:eastAsia="Times New Roman" w:cs="Times New Roman"/>
          <w:szCs w:val="24"/>
          <w:lang w:eastAsia="ru-RU"/>
        </w:rPr>
        <w:t xml:space="preserve"> имущество и Земельные участки, включенные в Перечень, могут передаваться субъектам малого и среднего предпринимательства</w:t>
      </w:r>
      <w:r>
        <w:rPr>
          <w:rFonts w:eastAsia="Times New Roman" w:cs="Times New Roman"/>
          <w:szCs w:val="24"/>
          <w:lang w:eastAsia="ru-RU"/>
        </w:rPr>
        <w:t xml:space="preserve">, в том числе и физическим лицам, не являющимся индивидуальными предпринимателями и применяющими </w:t>
      </w:r>
      <w:r w:rsidR="00AA3F3E">
        <w:rPr>
          <w:rFonts w:eastAsia="Times New Roman" w:cs="Times New Roman"/>
          <w:szCs w:val="24"/>
          <w:lang w:eastAsia="ru-RU"/>
        </w:rPr>
        <w:t>спе</w:t>
      </w:r>
      <w:r>
        <w:rPr>
          <w:rFonts w:eastAsia="Times New Roman" w:cs="Times New Roman"/>
          <w:szCs w:val="24"/>
          <w:lang w:eastAsia="ru-RU"/>
        </w:rPr>
        <w:t>циальный налоговый режим «Налог на профессиональный доход»,</w:t>
      </w:r>
      <w:r w:rsidRPr="002D2471">
        <w:rPr>
          <w:rFonts w:eastAsia="Times New Roman" w:cs="Times New Roman"/>
          <w:szCs w:val="24"/>
          <w:lang w:eastAsia="ru-RU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Земельные участки − в случаях, указанных в подпунктах 6, 8 и 9 пункта 2 статьи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39.3 Земельного кодекса Российской Федерации.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Муниципального имущества и Земельных участков в субаренду </w:t>
      </w:r>
      <w:r w:rsidRPr="002D2471">
        <w:rPr>
          <w:rFonts w:eastAsia="Times New Roman" w:cs="Times New Roman"/>
          <w:szCs w:val="24"/>
          <w:lang w:eastAsia="ru-RU"/>
        </w:rPr>
        <w:lastRenderedPageBreak/>
        <w:t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</w:t>
      </w:r>
      <w:r>
        <w:rPr>
          <w:rFonts w:eastAsia="Times New Roman" w:cs="Times New Roman"/>
          <w:szCs w:val="24"/>
          <w:lang w:eastAsia="ru-RU"/>
        </w:rPr>
        <w:t>.</w:t>
      </w:r>
    </w:p>
    <w:p w:rsidR="00A41FC8" w:rsidRPr="00D24D91" w:rsidRDefault="00A41FC8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 w:rsidRPr="00D24D91">
        <w:rPr>
          <w:rFonts w:cs="Aharoni"/>
          <w:szCs w:val="24"/>
        </w:rPr>
        <w:t>Контроль за</w:t>
      </w:r>
      <w:proofErr w:type="gramEnd"/>
      <w:r w:rsidRPr="00D24D91">
        <w:rPr>
          <w:rFonts w:cs="Aharoni"/>
          <w:szCs w:val="24"/>
        </w:rPr>
        <w:t xml:space="preserve"> исполнением настоящего постановления </w:t>
      </w:r>
      <w:r>
        <w:rPr>
          <w:rFonts w:cs="Aharoni"/>
          <w:szCs w:val="24"/>
        </w:rPr>
        <w:t>оставляю за собой.</w:t>
      </w:r>
    </w:p>
    <w:p w:rsidR="00D24D91" w:rsidRPr="00D24D91" w:rsidRDefault="00D24D91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cs="Aharoni"/>
          <w:szCs w:val="24"/>
        </w:rPr>
      </w:pPr>
      <w:r w:rsidRPr="00D24D91">
        <w:rPr>
          <w:rFonts w:cs="Aharoni"/>
          <w:szCs w:val="24"/>
        </w:rPr>
        <w:t xml:space="preserve">Настоящее постановление вступает в силу </w:t>
      </w:r>
      <w:r w:rsidR="00E83A77">
        <w:t>со дня его официального опубликования</w:t>
      </w:r>
      <w:r w:rsidR="00E83A77" w:rsidRPr="00E47DF5">
        <w:t>.</w:t>
      </w: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812D21" w:rsidP="00240197">
      <w:pPr>
        <w:rPr>
          <w:rFonts w:cs="Aharoni"/>
          <w:szCs w:val="24"/>
        </w:rPr>
      </w:pPr>
      <w:proofErr w:type="spellStart"/>
      <w:r>
        <w:rPr>
          <w:rFonts w:cs="Aharoni"/>
          <w:szCs w:val="24"/>
        </w:rPr>
        <w:t>Врио</w:t>
      </w:r>
      <w:proofErr w:type="spellEnd"/>
      <w:r w:rsidR="00F07ADD">
        <w:rPr>
          <w:rFonts w:cs="Aharoni"/>
          <w:szCs w:val="24"/>
        </w:rPr>
        <w:t xml:space="preserve"> главы</w:t>
      </w:r>
      <w:r w:rsidR="00D24D91" w:rsidRPr="00D24D91">
        <w:rPr>
          <w:rFonts w:cs="Aharoni"/>
          <w:szCs w:val="24"/>
        </w:rPr>
        <w:t xml:space="preserve"> администрации </w:t>
      </w:r>
      <w:r w:rsidR="00AB21F3" w:rsidRPr="00D24D91">
        <w:rPr>
          <w:rFonts w:cs="Aharoni"/>
          <w:szCs w:val="24"/>
        </w:rPr>
        <w:t xml:space="preserve"> </w:t>
      </w:r>
    </w:p>
    <w:p w:rsidR="00207FB9" w:rsidRDefault="00D24D91" w:rsidP="00240197">
      <w:pPr>
        <w:tabs>
          <w:tab w:val="left" w:pos="7494"/>
        </w:tabs>
        <w:rPr>
          <w:rFonts w:cs="Aharoni"/>
          <w:szCs w:val="24"/>
        </w:rPr>
      </w:pPr>
      <w:r w:rsidRPr="00D24D91">
        <w:rPr>
          <w:rFonts w:cs="Aharoni"/>
          <w:szCs w:val="24"/>
        </w:rPr>
        <w:t>Скребловского сельского поселения</w:t>
      </w:r>
      <w:r w:rsidR="00AB21F3" w:rsidRPr="00D24D91">
        <w:rPr>
          <w:rFonts w:cs="Aharoni"/>
          <w:szCs w:val="24"/>
        </w:rPr>
        <w:t xml:space="preserve">        </w:t>
      </w:r>
      <w:r w:rsidRPr="00D24D91">
        <w:rPr>
          <w:rFonts w:cs="Aharoni"/>
          <w:szCs w:val="24"/>
        </w:rPr>
        <w:tab/>
      </w:r>
      <w:r w:rsidR="00F07ADD">
        <w:rPr>
          <w:rFonts w:cs="Aharoni"/>
          <w:szCs w:val="24"/>
        </w:rPr>
        <w:t>С.В. Костерин</w:t>
      </w: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647D77" w:rsidRDefault="00647D77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240197">
      <w:pPr>
        <w:tabs>
          <w:tab w:val="left" w:pos="7494"/>
        </w:tabs>
        <w:rPr>
          <w:rFonts w:cs="Aharoni"/>
          <w:szCs w:val="24"/>
        </w:rPr>
      </w:pPr>
    </w:p>
    <w:p w:rsidR="00F77865" w:rsidRDefault="00F77865" w:rsidP="00F77865">
      <w:pPr>
        <w:rPr>
          <w:bCs/>
        </w:rPr>
      </w:pPr>
      <w:r>
        <w:rPr>
          <w:rFonts w:cs="Aharoni"/>
          <w:szCs w:val="24"/>
        </w:rPr>
        <w:t xml:space="preserve">Разослано: прокуратура, </w:t>
      </w:r>
      <w:r w:rsidR="00D9755B">
        <w:rPr>
          <w:bCs/>
        </w:rPr>
        <w:t>к</w:t>
      </w:r>
      <w:r>
        <w:rPr>
          <w:bCs/>
        </w:rPr>
        <w:t>омитет по управлению муниципальным имуществом администрации Лужского муниципального района</w:t>
      </w:r>
    </w:p>
    <w:p w:rsidR="00E50055" w:rsidRPr="002D2471" w:rsidRDefault="00207FB9" w:rsidP="00A41FC8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cs="Aharoni"/>
          <w:szCs w:val="24"/>
        </w:rPr>
        <w:br w:type="page"/>
      </w:r>
      <w:r w:rsidR="00E50055" w:rsidRPr="002D2471">
        <w:rPr>
          <w:rFonts w:eastAsia="Times New Roman" w:cs="Times New Roman"/>
          <w:szCs w:val="24"/>
          <w:lang w:eastAsia="ru-RU"/>
        </w:rPr>
        <w:lastRenderedPageBreak/>
        <w:t>УТВЕРЖДЕН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постановлением администрации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</w:p>
    <w:p w:rsidR="00E50055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от 2</w:t>
      </w:r>
      <w:r w:rsidR="00171DEB">
        <w:rPr>
          <w:rFonts w:eastAsia="Times New Roman" w:cs="Times New Roman"/>
          <w:szCs w:val="24"/>
          <w:lang w:eastAsia="ru-RU"/>
        </w:rPr>
        <w:t>4</w:t>
      </w:r>
      <w:r w:rsidRPr="002D2471">
        <w:rPr>
          <w:rFonts w:eastAsia="Times New Roman" w:cs="Times New Roman"/>
          <w:szCs w:val="24"/>
          <w:lang w:eastAsia="ru-RU"/>
        </w:rPr>
        <w:t xml:space="preserve">.05.2019 г. № </w:t>
      </w:r>
      <w:r w:rsidR="00171DEB">
        <w:rPr>
          <w:rFonts w:eastAsia="Times New Roman" w:cs="Times New Roman"/>
          <w:szCs w:val="24"/>
          <w:lang w:eastAsia="ru-RU"/>
        </w:rPr>
        <w:t>166</w:t>
      </w:r>
      <w:bookmarkStart w:id="0" w:name="_GoBack"/>
      <w:bookmarkEnd w:id="0"/>
    </w:p>
    <w:p w:rsidR="00F07ADD" w:rsidRPr="002D2471" w:rsidRDefault="00F07ADD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(в редакции постановления от 12.11.2020 № 367)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(приложение)</w:t>
      </w:r>
    </w:p>
    <w:p w:rsidR="00E50055" w:rsidRPr="002D2471" w:rsidRDefault="00E50055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</w:t>
      </w:r>
    </w:p>
    <w:p w:rsidR="00E50055" w:rsidRPr="002D2471" w:rsidRDefault="002D2471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246272">
        <w:rPr>
          <w:rFonts w:cs="Times New Roman"/>
        </w:rPr>
        <w:t>формирования, ведения и опубликования перечня 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</w:t>
      </w:r>
      <w:proofErr w:type="gramEnd"/>
      <w:r w:rsidRPr="00246272">
        <w:rPr>
          <w:rFonts w:cs="Times New Roman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E50055" w:rsidRPr="002D2471" w:rsidRDefault="00E50055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Общие положения</w:t>
      </w:r>
    </w:p>
    <w:p w:rsidR="00E50055" w:rsidRPr="002D2471" w:rsidRDefault="00E50055" w:rsidP="002D2471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2D2471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 xml:space="preserve">Настоящий Порядок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2658E3">
        <w:rPr>
          <w:rFonts w:cs="Times New Roman"/>
        </w:rPr>
        <w:t>Скребловское сельское поселение</w:t>
      </w:r>
      <w:r w:rsidR="002658E3"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Ленинградской области, а также земельных участков,  полномочия по распоряжению которыми относятся к компетенции  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>хозяйственного веден</w:t>
      </w:r>
      <w:r>
        <w:rPr>
          <w:rFonts w:eastAsia="Times New Roman" w:cs="Times New Roman"/>
          <w:szCs w:val="24"/>
          <w:lang w:eastAsia="ru-RU"/>
        </w:rPr>
        <w:t xml:space="preserve">ия и оперативного управления и </w:t>
      </w:r>
      <w:r w:rsidR="00E50055" w:rsidRPr="002D2471">
        <w:rPr>
          <w:rFonts w:eastAsia="Times New Roman" w:cs="Times New Roman"/>
          <w:szCs w:val="24"/>
          <w:lang w:eastAsia="ru-RU"/>
        </w:rPr>
        <w:t>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 разработан в соответствии с требованиями Земельного  кодекса Российской Федерации, Федерального закона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>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 w:rsidR="002658E3" w:rsidRPr="002658E3">
        <w:rPr>
          <w:rFonts w:eastAsia="Times New Roman" w:cs="Times New Roman"/>
          <w:szCs w:val="24"/>
          <w:lang w:eastAsia="ru-RU"/>
        </w:rPr>
        <w:t xml:space="preserve">Скребловское сельское поселение Лужского муниципального района </w:t>
      </w:r>
      <w:r w:rsidR="00E50055" w:rsidRPr="002D2471">
        <w:rPr>
          <w:rFonts w:eastAsia="Times New Roman" w:cs="Times New Roman"/>
          <w:szCs w:val="24"/>
          <w:lang w:eastAsia="ru-RU"/>
        </w:rPr>
        <w:t>Ленинградской област</w:t>
      </w:r>
      <w:r>
        <w:rPr>
          <w:rFonts w:eastAsia="Times New Roman" w:cs="Times New Roman"/>
          <w:szCs w:val="24"/>
          <w:lang w:eastAsia="ru-RU"/>
        </w:rPr>
        <w:t xml:space="preserve">и, а также земельных участков, </w:t>
      </w:r>
      <w:r w:rsidR="00E50055" w:rsidRPr="002D2471">
        <w:rPr>
          <w:rFonts w:eastAsia="Times New Roman" w:cs="Times New Roman"/>
          <w:szCs w:val="24"/>
          <w:lang w:eastAsia="ru-RU"/>
        </w:rPr>
        <w:t>полномочия по распоряжению ко</w:t>
      </w:r>
      <w:r w:rsidR="002658E3">
        <w:rPr>
          <w:rFonts w:eastAsia="Times New Roman" w:cs="Times New Roman"/>
          <w:szCs w:val="24"/>
          <w:lang w:eastAsia="ru-RU"/>
        </w:rPr>
        <w:t xml:space="preserve">торыми относятся к компетенции 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</w:t>
      </w:r>
      <w:r w:rsidR="00E50055" w:rsidRPr="002D2471">
        <w:rPr>
          <w:rFonts w:eastAsia="Times New Roman" w:cs="Times New Roman"/>
          <w:szCs w:val="24"/>
          <w:lang w:eastAsia="ru-RU"/>
        </w:rPr>
        <w:lastRenderedPageBreak/>
        <w:t>инфраструктуру поддержки субъектов малого и среднего предпринимательства (далее − Перечень).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1.2. Термины, используемые в Порядке: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Муниципальное имущество − недвижимое и движимое имущество, находящееся в собственности муниципального образования </w:t>
      </w:r>
      <w:r w:rsidR="002658E3">
        <w:rPr>
          <w:rFonts w:cs="Times New Roman"/>
        </w:rPr>
        <w:t>Скребловское сельское поселение</w:t>
      </w:r>
      <w:r w:rsidR="002658E3"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Pr="002D2471">
        <w:rPr>
          <w:rFonts w:eastAsia="Times New Roman" w:cs="Times New Roman"/>
          <w:szCs w:val="24"/>
          <w:lang w:eastAsia="ru-RU"/>
        </w:rPr>
        <w:t xml:space="preserve">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Земельные участки – земельные участки, включенные в Перечень, полномочия по распоряжению которыми относятся к компетенции администрации </w:t>
      </w:r>
      <w:r w:rsidR="002658E3">
        <w:rPr>
          <w:rFonts w:cs="Times New Roman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числе, к </w:t>
      </w:r>
      <w:proofErr w:type="spellStart"/>
      <w:r w:rsidRPr="002D2471">
        <w:rPr>
          <w:rFonts w:eastAsia="Times New Roman" w:cs="Times New Roman"/>
          <w:szCs w:val="24"/>
          <w:lang w:eastAsia="ru-RU"/>
        </w:rPr>
        <w:t>микропредприятиям</w:t>
      </w:r>
      <w:proofErr w:type="spellEnd"/>
      <w:r w:rsidRPr="002D2471">
        <w:rPr>
          <w:rFonts w:eastAsia="Times New Roman" w:cs="Times New Roman"/>
          <w:szCs w:val="24"/>
          <w:lang w:eastAsia="ru-RU"/>
        </w:rPr>
        <w:t xml:space="preserve"> и средним предприятиям.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Формирование Перечня – включение или исключение Муниципального имущества и Земельных участков из Перечня.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Ведение Перечня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Уполномоченный орган – орган, ответственный за формирование, ведение и обязательное опубликование Перечня, комитет по управлению муниципальным имуществом администрации Лужского муниципального района Ленинградской области.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1.3. </w:t>
      </w:r>
      <w:proofErr w:type="gramStart"/>
      <w:r w:rsidRPr="00812D21">
        <w:rPr>
          <w:rFonts w:eastAsia="Times New Roman" w:cs="Times New Roman"/>
          <w:szCs w:val="24"/>
          <w:lang w:eastAsia="ru-RU"/>
        </w:rPr>
        <w:t>Муниципальное</w:t>
      </w:r>
      <w:r w:rsidRPr="002D2471">
        <w:rPr>
          <w:rFonts w:eastAsia="Times New Roman" w:cs="Times New Roman"/>
          <w:szCs w:val="24"/>
          <w:lang w:eastAsia="ru-RU"/>
        </w:rPr>
        <w:t xml:space="preserve"> имущество и Земельные участки, включенные в Перечень, могут передаваться субъектам малого и среднего предпринимательства</w:t>
      </w:r>
      <w:r w:rsidR="00C715FE">
        <w:rPr>
          <w:rFonts w:eastAsia="Times New Roman" w:cs="Times New Roman"/>
          <w:szCs w:val="24"/>
          <w:lang w:eastAsia="ru-RU"/>
        </w:rPr>
        <w:t xml:space="preserve">, в том числе и физическим лицам, не являющимся индивидуальными предпринимателями и применяющими </w:t>
      </w:r>
      <w:r w:rsidR="00647D77">
        <w:rPr>
          <w:rFonts w:eastAsia="Times New Roman" w:cs="Times New Roman"/>
          <w:szCs w:val="24"/>
          <w:lang w:eastAsia="ru-RU"/>
        </w:rPr>
        <w:t>спе</w:t>
      </w:r>
      <w:r w:rsidR="00C715FE">
        <w:rPr>
          <w:rFonts w:eastAsia="Times New Roman" w:cs="Times New Roman"/>
          <w:szCs w:val="24"/>
          <w:lang w:eastAsia="ru-RU"/>
        </w:rPr>
        <w:t>циальный налоговый режим «Налог на профессиональный доход»,</w:t>
      </w:r>
      <w:r w:rsidRPr="002D2471">
        <w:rPr>
          <w:rFonts w:eastAsia="Times New Roman" w:cs="Times New Roman"/>
          <w:szCs w:val="24"/>
          <w:lang w:eastAsia="ru-RU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Земельные участки − в случаях, указанных в подпунктах 6, 8 и 9 пункта 2 статьи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39.3 Земельного кодекса Российской Федерации.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1.4. Перечень формируется в соответствии с настоящим Порядком. 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658E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 формирования Перечня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 xml:space="preserve">2.1 Перечень Муниципального имущества и Земельных участков, соответствующих критериям, указанным в п. 2.2 настоящего Порядка, формируется на основе реестра муниципальной собственности муниципального образования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Скребловское сельское поселение Лужского муниципального района</w:t>
      </w:r>
      <w:r w:rsidRPr="002D2471">
        <w:rPr>
          <w:rFonts w:eastAsia="Times New Roman" w:cs="Times New Roman"/>
          <w:szCs w:val="24"/>
          <w:lang w:eastAsia="ru-RU"/>
        </w:rPr>
        <w:t xml:space="preserve"> Ленинградской области.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 2.2. В Перечень включается Муниципальное имущество, соответствующее следующим критериям: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ограничено в обороте;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является объектом религиозного назначения;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является объектом незавершенного строительства;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признано аварийным и подлежащим сносу или реконструкции.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В Перечень включаются Земельные участки, соответствующие следующим критериям: 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свободные от прав третьих лиц;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границы земельного участка установлены в соответствии с требованиями Федерального закона «О государственной регистрации недвижимости»;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кциона;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кциона;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отнесен к определенной категории земель;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</w:t>
      </w:r>
      <w:r w:rsidRPr="002D2471">
        <w:rPr>
          <w:rFonts w:eastAsia="Times New Roman" w:cs="Times New Roman"/>
          <w:szCs w:val="24"/>
          <w:lang w:eastAsia="ru-RU"/>
        </w:rPr>
        <w:lastRenderedPageBreak/>
        <w:t>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жд в св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2.4. Формирование Перечня осуществляется по инициативе органов местного самоуправления </w:t>
      </w:r>
      <w:r w:rsidR="00B43B9E" w:rsidRPr="00B43B9E">
        <w:rPr>
          <w:rFonts w:eastAsia="Times New Roman" w:cs="Times New Roman"/>
          <w:szCs w:val="24"/>
          <w:lang w:eastAsia="ru-RU"/>
        </w:rPr>
        <w:t xml:space="preserve">Скребловского сельского поселения </w:t>
      </w:r>
      <w:r w:rsidRPr="002D2471">
        <w:rPr>
          <w:rFonts w:eastAsia="Times New Roman" w:cs="Times New Roman"/>
          <w:szCs w:val="24"/>
          <w:lang w:eastAsia="ru-RU"/>
        </w:rPr>
        <w:t>Лужского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E50055" w:rsidRPr="002D2471" w:rsidRDefault="00E50055" w:rsidP="002658E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обеспечение потребности населения</w:t>
      </w:r>
      <w:r w:rsidR="00B43B9E" w:rsidRPr="00B43B9E">
        <w:rPr>
          <w:rFonts w:eastAsia="Times New Roman" w:cs="Times New Roman"/>
          <w:szCs w:val="24"/>
          <w:lang w:eastAsia="ru-RU"/>
        </w:rPr>
        <w:t xml:space="preserve"> </w:t>
      </w:r>
      <w:r w:rsidR="00B43B9E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Лужского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E50055" w:rsidRPr="002D2471" w:rsidRDefault="00E50055" w:rsidP="002658E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социальная значимость Муниципального имущества.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2.5. Предложения любых заинтересованных лиц по формированию Перечня, заявления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арендаторов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2.6.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2.7. Муниципальное имущество и (или) Земельные участки подлежат исключению из Перечня в следующих случаях: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утраты или гибели объекта; 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>право муниципальной собственности на объект прекращено по решению суда или в ином установленном законом порядке;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выкуп Муниципального имущества и (или) Земельных участков субъектом малого и среднего предпринимательства.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2.8.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658E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 ведения и опубликования Перечня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соответствии с положениями настоящего Порядка в утвержденный Перечень.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3.2. Перечень и внесение изменений в Перечень утверждаются постановлением администрации Лужского муниципального района.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3.3. Утвержденный Перечень ведется Уполномоченным органом на электронном и бумажном носителях по форме, согласно приложению к настоящему Порядку.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3.4. Перечень и дополнения к нему подлежат обязательному опубликованию и размещению на официальном сайте администрации </w:t>
      </w:r>
      <w:r w:rsidR="00B43B9E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B43B9E" w:rsidRPr="002D2471">
        <w:rPr>
          <w:rFonts w:eastAsia="Times New Roman" w:cs="Times New Roman"/>
          <w:szCs w:val="24"/>
          <w:lang w:eastAsia="ru-RU"/>
        </w:rPr>
        <w:t xml:space="preserve"> </w:t>
      </w:r>
      <w:r w:rsidRPr="002D2471">
        <w:rPr>
          <w:rFonts w:eastAsia="Times New Roman" w:cs="Times New Roman"/>
          <w:szCs w:val="24"/>
          <w:lang w:eastAsia="ru-RU"/>
        </w:rPr>
        <w:t>Лужского муниципального района Ленинградской области в сети Интернет.</w:t>
      </w:r>
    </w:p>
    <w:p w:rsidR="00E50055" w:rsidRPr="002D2471" w:rsidRDefault="00E50055" w:rsidP="002D2471">
      <w:pPr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3.5. Перечень и дополнения к нему в течение 10 (десяти) рабочих дней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с даты утверждения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направляются Уполномоченным органом в Комитет по развитию малого, среднего бизнеса и потребительского рынка Ленинградской области.</w:t>
      </w:r>
    </w:p>
    <w:p w:rsidR="00B43B9E" w:rsidRDefault="00B43B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B43B9E" w:rsidRDefault="00B43B9E" w:rsidP="00E50055">
      <w:pPr>
        <w:ind w:right="-2" w:firstLine="709"/>
        <w:contextualSpacing/>
        <w:jc w:val="right"/>
        <w:rPr>
          <w:rFonts w:eastAsia="Times New Roman" w:cs="Times New Roman"/>
          <w:sz w:val="28"/>
          <w:szCs w:val="28"/>
          <w:lang w:eastAsia="ru-RU"/>
        </w:rPr>
        <w:sectPr w:rsidR="00B43B9E" w:rsidSect="00647D77">
          <w:headerReference w:type="first" r:id="rId8"/>
          <w:pgSz w:w="11906" w:h="16838"/>
          <w:pgMar w:top="851" w:right="566" w:bottom="1135" w:left="1418" w:header="284" w:footer="708" w:gutter="0"/>
          <w:cols w:space="708"/>
          <w:titlePg/>
          <w:docGrid w:linePitch="360"/>
        </w:sectPr>
      </w:pPr>
    </w:p>
    <w:p w:rsidR="00E50055" w:rsidRPr="00E50055" w:rsidRDefault="00E50055" w:rsidP="00E50055">
      <w:pPr>
        <w:ind w:right="-2" w:firstLine="709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 w:rsidRPr="00E50055">
        <w:rPr>
          <w:rFonts w:eastAsia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E50055" w:rsidRPr="00E50055" w:rsidRDefault="00E50055" w:rsidP="00B43B9E">
      <w:pPr>
        <w:shd w:val="clear" w:color="auto" w:fill="FFFFFF"/>
        <w:spacing w:after="600" w:line="317" w:lineRule="exact"/>
        <w:ind w:right="-2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E50055">
        <w:rPr>
          <w:rFonts w:eastAsia="Times New Roman" w:cs="Times New Roman"/>
          <w:szCs w:val="24"/>
          <w:lang w:eastAsia="ru-RU"/>
        </w:rPr>
        <w:t xml:space="preserve">ФОРМА </w:t>
      </w:r>
    </w:p>
    <w:p w:rsidR="00E50055" w:rsidRPr="00E50055" w:rsidRDefault="00E50055" w:rsidP="00E50055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E50055" w:rsidRDefault="00E50055" w:rsidP="00E50055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E50055">
        <w:rPr>
          <w:rFonts w:eastAsia="Times New Roman" w:cs="Times New Roman"/>
          <w:szCs w:val="24"/>
          <w:lang w:eastAsia="ru-RU"/>
        </w:rPr>
        <w:t>Перечнь</w:t>
      </w:r>
      <w:proofErr w:type="spellEnd"/>
    </w:p>
    <w:p w:rsidR="00E50055" w:rsidRPr="00E50055" w:rsidRDefault="00B43B9E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246272">
        <w:rPr>
          <w:rFonts w:cs="Times New Roman"/>
        </w:rPr>
        <w:t>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</w:t>
      </w:r>
      <w:proofErr w:type="gramEnd"/>
      <w:r w:rsidRPr="00246272">
        <w:rPr>
          <w:rFonts w:cs="Times New Roman"/>
        </w:rPr>
        <w:t xml:space="preserve">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E50055" w:rsidRPr="00E50055" w:rsidRDefault="00E50055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694"/>
        <w:gridCol w:w="1032"/>
        <w:gridCol w:w="849"/>
        <w:gridCol w:w="851"/>
        <w:gridCol w:w="708"/>
        <w:gridCol w:w="993"/>
        <w:gridCol w:w="850"/>
        <w:gridCol w:w="709"/>
        <w:gridCol w:w="709"/>
        <w:gridCol w:w="708"/>
        <w:gridCol w:w="1096"/>
        <w:gridCol w:w="992"/>
        <w:gridCol w:w="1134"/>
        <w:gridCol w:w="992"/>
        <w:gridCol w:w="1134"/>
        <w:gridCol w:w="1028"/>
      </w:tblGrid>
      <w:tr w:rsidR="00E50055" w:rsidRPr="00E50055" w:rsidTr="00164711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1:Q84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/п</w:t>
            </w:r>
            <w:bookmarkEnd w:id="1"/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Но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мер в реестре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иму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щест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Адрес (место положе</w:t>
            </w:r>
            <w:proofErr w:type="gram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) объекта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Кадаст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ровый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Основная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характери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стика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объекта недвижимости, кв.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объекта учета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Документы-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основания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Документы-основания</w:t>
            </w:r>
          </w:p>
        </w:tc>
      </w:tr>
      <w:tr w:rsidR="00E50055" w:rsidRPr="00E50055" w:rsidTr="00164711">
        <w:trPr>
          <w:trHeight w:val="126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Дата заключения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дого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ОГРН/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E50055" w:rsidRPr="00E50055" w:rsidRDefault="00E50055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207FB9" w:rsidRPr="00207FB9" w:rsidRDefault="00207FB9" w:rsidP="00E50055">
      <w:pPr>
        <w:tabs>
          <w:tab w:val="left" w:pos="7494"/>
        </w:tabs>
        <w:jc w:val="center"/>
        <w:rPr>
          <w:rFonts w:cs="Aharoni"/>
          <w:smallCaps/>
          <w:szCs w:val="24"/>
        </w:rPr>
      </w:pPr>
    </w:p>
    <w:sectPr w:rsidR="00207FB9" w:rsidRPr="00207FB9" w:rsidSect="00B43B9E">
      <w:pgSz w:w="16838" w:h="11906" w:orient="landscape"/>
      <w:pgMar w:top="567" w:right="567" w:bottom="141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41" w:rsidRDefault="007D0241" w:rsidP="000C1731">
      <w:r>
        <w:separator/>
      </w:r>
    </w:p>
  </w:endnote>
  <w:endnote w:type="continuationSeparator" w:id="0">
    <w:p w:rsidR="007D0241" w:rsidRDefault="007D0241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41" w:rsidRDefault="007D0241" w:rsidP="000C1731">
      <w:r>
        <w:separator/>
      </w:r>
    </w:p>
  </w:footnote>
  <w:footnote w:type="continuationSeparator" w:id="0">
    <w:p w:rsidR="007D0241" w:rsidRDefault="007D0241" w:rsidP="000C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1" w:rsidRDefault="000C1731" w:rsidP="000C173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87E46"/>
    <w:multiLevelType w:val="multilevel"/>
    <w:tmpl w:val="A3C2BE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30F2D"/>
    <w:rsid w:val="00033079"/>
    <w:rsid w:val="000553AD"/>
    <w:rsid w:val="00057931"/>
    <w:rsid w:val="0006185F"/>
    <w:rsid w:val="000C1731"/>
    <w:rsid w:val="00163DA2"/>
    <w:rsid w:val="00171DEB"/>
    <w:rsid w:val="001C14A6"/>
    <w:rsid w:val="00207FB9"/>
    <w:rsid w:val="00240197"/>
    <w:rsid w:val="0024397F"/>
    <w:rsid w:val="002658E3"/>
    <w:rsid w:val="002A2CAE"/>
    <w:rsid w:val="002B4464"/>
    <w:rsid w:val="002D2471"/>
    <w:rsid w:val="002D6E89"/>
    <w:rsid w:val="00332113"/>
    <w:rsid w:val="0039286C"/>
    <w:rsid w:val="003B74F3"/>
    <w:rsid w:val="00467B51"/>
    <w:rsid w:val="00490868"/>
    <w:rsid w:val="00495814"/>
    <w:rsid w:val="004B7F05"/>
    <w:rsid w:val="0051278B"/>
    <w:rsid w:val="005733C4"/>
    <w:rsid w:val="00582E07"/>
    <w:rsid w:val="00647D77"/>
    <w:rsid w:val="00666781"/>
    <w:rsid w:val="006C70E9"/>
    <w:rsid w:val="007523FE"/>
    <w:rsid w:val="007D0241"/>
    <w:rsid w:val="007D4FD1"/>
    <w:rsid w:val="00812D21"/>
    <w:rsid w:val="00841E95"/>
    <w:rsid w:val="008456C5"/>
    <w:rsid w:val="008D67A0"/>
    <w:rsid w:val="0093470C"/>
    <w:rsid w:val="00985FA0"/>
    <w:rsid w:val="009B5CF9"/>
    <w:rsid w:val="009C11D4"/>
    <w:rsid w:val="00A303B0"/>
    <w:rsid w:val="00A40BC4"/>
    <w:rsid w:val="00A41FC8"/>
    <w:rsid w:val="00A67309"/>
    <w:rsid w:val="00AA3F3E"/>
    <w:rsid w:val="00AB21F3"/>
    <w:rsid w:val="00AD4D19"/>
    <w:rsid w:val="00B25565"/>
    <w:rsid w:val="00B43B9E"/>
    <w:rsid w:val="00B5714E"/>
    <w:rsid w:val="00BA7139"/>
    <w:rsid w:val="00BC6609"/>
    <w:rsid w:val="00BE10CC"/>
    <w:rsid w:val="00BF6B6D"/>
    <w:rsid w:val="00C028F0"/>
    <w:rsid w:val="00C53C34"/>
    <w:rsid w:val="00C715FE"/>
    <w:rsid w:val="00CF07E8"/>
    <w:rsid w:val="00CF7367"/>
    <w:rsid w:val="00D24D91"/>
    <w:rsid w:val="00D31119"/>
    <w:rsid w:val="00D5284E"/>
    <w:rsid w:val="00D9755B"/>
    <w:rsid w:val="00DB476A"/>
    <w:rsid w:val="00E12AD1"/>
    <w:rsid w:val="00E42259"/>
    <w:rsid w:val="00E50055"/>
    <w:rsid w:val="00E83A77"/>
    <w:rsid w:val="00EA366C"/>
    <w:rsid w:val="00EA49A2"/>
    <w:rsid w:val="00ED433A"/>
    <w:rsid w:val="00F05B86"/>
    <w:rsid w:val="00F07ADD"/>
    <w:rsid w:val="00F14326"/>
    <w:rsid w:val="00F77865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30</cp:revision>
  <cp:lastPrinted>2020-11-12T08:19:00Z</cp:lastPrinted>
  <dcterms:created xsi:type="dcterms:W3CDTF">2019-05-23T13:54:00Z</dcterms:created>
  <dcterms:modified xsi:type="dcterms:W3CDTF">2020-11-12T08:21:00Z</dcterms:modified>
</cp:coreProperties>
</file>